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</w:rPr>
      </w:pPr>
      <w:r>
        <w:rPr>
          <w:rFonts w:ascii="Basic Roman" w:hAnsi="Basic Roman" w:eastAsia="Basic Roman" w:cs="Basic Roman"/>
          <w:b/>
          <w:color w:val="000000"/>
          <w:sz w:val="28"/>
          <w:szCs w:val="28"/>
        </w:rPr>
        <w:t>Nadim-Daniel Ghaznavi</w:t>
      </w:r>
      <w:r>
        <w:rPr>
          <w:rFonts w:ascii="Basic Roman" w:hAnsi="Basic Roman" w:eastAsia="Basic Roman" w:cs="Basic Roman"/>
        </w:rPr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</w:rPr>
      </w:pPr>
      <w:r>
        <w:rPr>
          <w:rFonts w:ascii="Basic Roman" w:hAnsi="Basic Roman" w:eastAsia="Basic Roman" w:cs="Basic Roman"/>
        </w:rPr>
        <w:t>nghaznavi@gmail.com</w:t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color w:val="000000"/>
        </w:rPr>
      </w:pPr>
      <w:r>
        <w:rPr>
          <w:rFonts w:ascii="Basic Roman" w:hAnsi="Basic Roman" w:eastAsia="Basic Roman" w:cs="Basic Roman"/>
          <w:color w:val="000000"/>
        </w:rPr>
        <w:t>(289) 639-2052</w:t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b/>
          <w:color w:val="000000"/>
        </w:rPr>
      </w:pPr>
      <w:r>
        <w:rPr>
          <w:rFonts w:ascii="Basic Roman" w:hAnsi="Basic Roman" w:eastAsia="Basic Roman" w:cs="Basic Roman"/>
          <w:color w:val="000000"/>
        </w:rPr>
        <w:t>Hamilton, ON, Canada</w:t>
      </w:r>
      <w:r>
        <w:rPr>
          <w:rFonts w:ascii="Basic Roman" w:hAnsi="Basic Roman" w:eastAsia="Basic Roman" w:cs="Basic Roman"/>
          <w:b/>
          <w:color w:val="000000"/>
        </w:rPr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8100" distB="37465" distL="635" distR="0" simplePos="0" relativeHeight="251658245" behindDoc="0" locked="0" layoutInCell="0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16510</wp:posOffset>
                </wp:positionV>
                <wp:extent cx="6294755" cy="635"/>
                <wp:effectExtent l="76200" t="76200" r="76200" b="7620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IAAAAAAAAAAAAAAAAgAAAFEAAAAAAAAAAgAAABoAAAC5JgAAAQAAAAAAAAAhAwAA5wY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6294755" cy="63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6" o:spid="_x0000_s1026" style="position:absolute;width:495.65pt;height:0.05pt;rotation:360.0;z-index:251658245;mso-wrap-distance-left:0.05pt;mso-wrap-distance-top:3.00pt;mso-wrap-distance-right:0.00pt;mso-wrap-distance-bottom:2.95pt;mso-wrap-style:square" from="4.05pt,1.35pt" to="499.70pt,1.3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IAAAAAAAAAAAAAAAAgAAAFEAAAAAAAAAAgAAABoAAAC5JgAAAQAAAAAAAAAhAwAA5wY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b/>
          <w:color w:val="000000"/>
          <w:sz w:val="28"/>
          <w:szCs w:val="28"/>
        </w:rPr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b/>
          <w:i/>
          <w:color w:val="000000"/>
          <w:sz w:val="28"/>
          <w:szCs w:val="28"/>
        </w:rPr>
      </w:pPr>
      <w:r>
        <w:rPr>
          <w:rFonts w:ascii="Basic Roman" w:hAnsi="Basic Roman" w:eastAsia="Basic Roman" w:cs="Basic Roman"/>
          <w:b/>
          <w:i/>
          <w:color w:val="000000"/>
          <w:sz w:val="28"/>
          <w:szCs w:val="28"/>
        </w:rPr>
        <w:t>Career Summary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p>
      <w:pPr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Systems architect and Linux systems professional with 20+ years of experience building and maintaining complex infrastructure. Recently expanded into AI/ML with the development of 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AI Snake Lab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 and explored security analysis during a 1.5-year senior analyst role. Proven ability to lead technical teams, optimize workflows, and deliver reliable solutions in high-stakes environments. Took a planned career break from IT to focus on hands-on work and personal projects.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20320" distB="38100" distL="635" distR="0" simplePos="0" relativeHeight="251658246" behindDoc="0" locked="0" layoutInCell="0" hidden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76200</wp:posOffset>
                </wp:positionV>
                <wp:extent cx="5337175" cy="17780"/>
                <wp:effectExtent l="76200" t="76200" r="76200" b="76200"/>
                <wp:wrapNone/>
                <wp:docPr id="6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gAAAAAoAAAAAAAAAAAAAAAAAAAAgAAAGAAAAABAAAAAgAAAHgAAADVIAAAHAAAAAAAAAAwAwAA/g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337175" cy="1778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8" o:spid="_x0000_s1027" style="position:absolute;width:420.25pt;height:1.40pt;z-index:251658246;mso-wrap-distance-left:0.05pt;mso-wrap-distance-top:1.60pt;mso-wrap-distance-right:0.00pt;mso-wrap-distance-bottom:3.00pt;mso-wrap-style:square" from="4.80pt,6.00pt" to="425.05pt,7.40pt" strokeweight="0.00pt" filled="f" v:ext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gAAAAAoAAAAAAAAAAAAAAAAAAAAgAAAGAAAAABAAAAAgAAAHgAAADVIAAAHAAAAAAAAAAwAwAA/g0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b/>
          <w:color w:val="000000"/>
          <w:sz w:val="28"/>
          <w:szCs w:val="28"/>
        </w:rPr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b/>
          <w:i/>
          <w:color w:val="000000"/>
          <w:sz w:val="28"/>
          <w:szCs w:val="28"/>
        </w:rPr>
      </w:pPr>
      <w:r>
        <w:rPr>
          <w:rFonts w:ascii="Basic Roman" w:hAnsi="Basic Roman" w:eastAsia="Basic Roman" w:cs="Basic Roman"/>
          <w:b/>
          <w:i/>
          <w:color w:val="000000"/>
          <w:sz w:val="28"/>
          <w:szCs w:val="28"/>
        </w:rPr>
        <w:t>Employment History</w:t>
        <w:tab/>
      </w:r>
    </w:p>
    <w:tbl>
      <w:tblPr>
        <w:tblStyle w:val="TableNormal"/>
        <w:name w:val="Table1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Ghaznavi Consulting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Systems Architect (full-time)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Hamilton,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January 2024 – Present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Built and published 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AI Snake Lab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, an open-source reinforcement learning sandbox featuring adaptive epsilon decay and 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ind w:left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distributed  simulation architecture.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Developed 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Db4E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, a Monero mining analytics platform integrating historical performance metrics with real-time orchestration.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Implemented modular SQLite schemas and automated CI/CD workflows using GitHub Actions, streamlining testing and deployment.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Leveraged Python, PyTorch, ZeroMQ, FastAPI, asyncio, and systemd to design scalable and maintainable systems.</w:t>
      </w:r>
    </w:p>
    <w:p>
      <w:pPr>
        <w:pStyle w:val="para19"/>
        <w:spacing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36195" distB="38100" distL="635" distR="0" simplePos="0" relativeHeight="251658261" behindDoc="0" locked="0" layoutInCell="0" hidden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109855</wp:posOffset>
                </wp:positionV>
                <wp:extent cx="4424045" cy="1905"/>
                <wp:effectExtent l="76200" t="76200" r="76200" b="76200"/>
                <wp:wrapNone/>
                <wp:docPr id="2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AAAAAAoAAAIAAAAAAAAAAAAAAAAgAAADoAAAAAAAAAAgAAAK0AAAA3GwAAAwAAAAAAAAAKAwAAjh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424045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3" o:spid="_x0000_s1028" style="position:absolute;width:348.35pt;height:0.15pt;z-index:251658261;mso-wrap-distance-left:0.05pt;mso-wrap-distance-top:2.85pt;mso-wrap-distance-right:0.00pt;mso-wrap-distance-bottom:3.00pt;mso-wrap-style:square" from="2.90pt,8.65pt" to="351.25pt,8.80pt" strokeweight="0.00pt" filled="f" v:ext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AAAAAAoAAAIAAAAAAAAAAAAAAAAgAAADoAAAAAAAAAAgAAAK0AAAA3GwAAAwAAAAAAAAAKAwAAjhg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tbl>
      <w:tblPr>
        <w:tblStyle w:val="TableNormal"/>
        <w:name w:val="Table2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Bank of Montreal – BMO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Senior Security Analyst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Toronto,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October 2021 – April  2023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Analyzed geolocation and access data to identify potential insider threats, improving security monitoring processes.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Enforced encrypted email attachment policies, enhancing compliance with corporate data protection standards.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Led the security analysis team during manager absences, ensuring uninterrupted operations and timely investigation outcomes.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Utilized Splunk and proprietary tools to conduct detailed investigations and provide actionable recommendations.</w:t>
      </w:r>
    </w:p>
    <w:p>
      <w:pPr>
        <w:pStyle w:val="para19"/>
        <w:spacing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38100" distB="32385" distL="635" distR="0" simplePos="0" relativeHeight="251658241" behindDoc="0" locked="0" layoutInCell="0" hidden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104140</wp:posOffset>
                </wp:positionV>
                <wp:extent cx="3616960" cy="5715"/>
                <wp:effectExtent l="76200" t="76200" r="76200" b="7620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YAAAAAoAAAIAAAAAAAAAAAAAAAAgAAADoAAAAAAAAAAgAAAKQAAABAFgAACQAAAAAAAAAKAwAAZh8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3616960" cy="571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o:spid="_x0000_s1029" style="position:absolute;width:284.80pt;height:0.45pt;rotation:360.0;z-index:251658241;mso-wrap-distance-left:0.05pt;mso-wrap-distance-top:3.00pt;mso-wrap-distance-right:0.00pt;mso-wrap-distance-bottom:2.55pt;mso-wrap-style:square" from="2.90pt,8.65pt" to="287.70pt,8.20pt" strokeweight="0.00pt" filled="f" v:ext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YAAAAAoAAAIAAAAAAAAAAAAAAAAgAAADoAAAAAAAAAAgAAAKQAAABAFgAACQAAAAAAAAAKAwAAZh8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tbl>
      <w:tblPr>
        <w:tblStyle w:val="TableNormal"/>
        <w:name w:val="Table3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Gilbert’s Tire Sales and Service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Tire Technician (full-time)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Hamilton,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August 2020 – September 2021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Mounted, balanced, and repaired tires for cars and trucks in a fast-paced, collaborative environment.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Maintained high service quality and safety standards while managing multiple tasks simultaneously.</w:t>
      </w:r>
    </w:p>
    <w:p>
      <w:pPr>
        <w:pStyle w:val="para19"/>
        <w:spacing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38100" distB="36830" distL="635" distR="0" simplePos="0" relativeHeight="251658242" behindDoc="0" locked="0" layoutInCell="0" hidden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97790</wp:posOffset>
                </wp:positionV>
                <wp:extent cx="3007995" cy="1270"/>
                <wp:effectExtent l="76200" t="76200" r="76200" b="762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oAAAAAoAAAAAAAAAAAAAAAAAAAAgAAACYAAAABAAAAAgAAAJoAAACBEgAAAgAAAAAAAAD2AgAAlSQ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3007995" cy="127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3" o:spid="_x0000_s1030" style="position:absolute;width:236.85pt;height:0.10pt;rotation:360.0;z-index:251658242;mso-wrap-distance-left:0.05pt;mso-wrap-distance-top:3.00pt;mso-wrap-distance-right:0.00pt;mso-wrap-distance-bottom:2.90pt;mso-wrap-style:square" from="1.90pt,7.80pt" to="238.75pt,7.70pt" strokeweight="0.00pt" filled="f" v:ext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oAAAAAoAAAAAAAAAAAAAAAAAAAAgAAACYAAAABAAAAAgAAAJoAAACBEgAAAgAAAAAAAAD2AgAAlSQ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tbl>
      <w:tblPr>
        <w:tblStyle w:val="TableNormal"/>
        <w:name w:val="Table4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Ready Set Go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Tire Technician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Hamilton,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October 2018 – July 2020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Performed full-service tire operations, including mounting, balancing, and repair for cars and semi-trucks.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Managed shop operations independently, including client relations, job scheduling, sales, and payment processing.</w:t>
      </w:r>
    </w:p>
    <w:p>
      <w:pPr>
        <w:pStyle w:val="para19"/>
        <w:spacing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38100" distB="38100" distL="635" distR="0" simplePos="0" relativeHeight="251658244" behindDoc="0" locked="0" layoutInCell="0" hidden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113665</wp:posOffset>
                </wp:positionV>
                <wp:extent cx="2320290" cy="0"/>
                <wp:effectExtent l="76200" t="76200" r="76200" b="76200"/>
                <wp:wrapNone/>
                <wp:docPr id="4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4AAAAAoAAAAAAAAAAAAAAAAAAAAgAAACcAAAABAAAAAgAAALMAAABGDgAAAAAAAAAAAAD3AgAA5yk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32029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1" o:spid="_x0000_s1031" style="position:absolute;width:182.70pt;height:0.00pt;z-index:251658244;mso-wrap-distance-left:0.05pt;mso-wrap-distance-top:3.00pt;mso-wrap-distance-right:0.00pt;mso-wrap-distance-bottom:3.00pt;mso-wrap-style:square" from="1.95pt,8.95pt" to="184.65pt,8.95pt" strokeweight="0.00pt" filled="f" v:ext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4AAAAAoAAAAAAAAAAAAAAAAAAAAgAAACcAAAABAAAAAgAAALMAAABGDgAAAAAAAAAAAAD3AgAA5yk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tbl>
      <w:tblPr>
        <w:tblStyle w:val="TableNormal"/>
        <w:name w:val="Table5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Landscape Consulting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Landscape Technician (full-time)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Hamilton,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April 2018 – September 2018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Constructed fences, laid patio stones, and performed landscaping tasks for residential and commercial clients.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Maintained commercial properties using landscaping equipment and ensured timely completion of projects.</w:t>
      </w:r>
    </w:p>
    <w:p>
      <w:pPr>
        <w:pStyle w:val="para19"/>
        <w:spacing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37465" distB="38100" distL="635" distR="635" simplePos="0" relativeHeight="251658243" behindDoc="0" locked="0" layoutInCell="0" hidden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79375</wp:posOffset>
                </wp:positionV>
                <wp:extent cx="1692275" cy="635"/>
                <wp:effectExtent l="76200" t="76200" r="76200" b="7620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CIAAAAAoAAAAAAAAAAAAAAAAAAAAgAAABIAAAABAAAAAgAAAH0AAABpCgAAAQAAAAAAAADiAgAA6i4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692275" cy="63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7" o:spid="_x0000_s1032" style="position:absolute;width:133.25pt;height:0.05pt;z-index:251658243;mso-wrap-distance-left:0.05pt;mso-wrap-distance-top:2.95pt;mso-wrap-distance-right:0.05pt;mso-wrap-distance-bottom:3.00pt;mso-wrap-style:square" from="0.90pt,6.25pt" to="134.15pt,6.3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CIAAAAAoAAAAAAAAAAAAAAAAAAAAgAAABIAAAABAAAAAgAAAH0AAABpCgAAAQAAAAAAAADiAgAA6i4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tbl>
      <w:tblPr>
        <w:tblStyle w:val="TableNormal"/>
        <w:name w:val="Table6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Canadian Imperial Bank of Commerce – CIBC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High Availability Team Lead (full-time)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Toronto,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October 2013 – December 2016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Promoted within a year to lead a high-availability IT operations team supporting revenue-critical applications, including CIBC’s automated foreign exchange trading platform.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Coordinated team efforts to optimize service delivery, reducing downtime and ensuring uninterrupted transaction processing.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Recognized with 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CIBC Quarterly Achiever and Impact Awards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 for outstanding operational leadership.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Implemented process improvements that enhanced team efficiency and responsiveness to high-priority incidents.</w:t>
      </w:r>
    </w:p>
    <w:p>
      <w:r>
        <w:br w:type="page"/>
      </w:r>
    </w:p>
    <w:tbl>
      <w:tblPr>
        <w:tblStyle w:val="TableNormal"/>
        <w:name w:val="Table7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pageBreakBefore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Keek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Senior Systems Administrator (full-time)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Toronto,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April 2013 – June 2013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Monitored overnight application performance and executed service restarts to maintain uptime.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Deployed 50+ new servers from hardware setup to production readiness, ensuring operational continuity.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Established a new site in the Miami data center remotely, managing full deployment from bare metal to live production.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8100" distB="37465" distL="635" distR="0" simplePos="0" relativeHeight="251658262" behindDoc="0" locked="0" layoutInCell="0" hidden="0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101600</wp:posOffset>
                </wp:positionV>
                <wp:extent cx="6294755" cy="635"/>
                <wp:effectExtent l="76200" t="76200" r="76200" b="76200"/>
                <wp:wrapNone/>
                <wp:docPr id="22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CwAAAAAoAAAIAAAAAAAAAAAAAAAAgAAAM////8AAAAAAgAAAKAAAAC5JgAAAQAAAAEAAACfAgAAqQg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6294755" cy="63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5" o:spid="_x0000_s1033" style="position:absolute;width:495.65pt;height:0.05pt;rotation:360.0;z-index:251658262;mso-wrap-distance-left:0.05pt;mso-wrap-distance-top:3.00pt;mso-wrap-distance-right:0.00pt;mso-wrap-distance-bottom:2.95pt;mso-wrap-style:square" from="-2.45pt,8.05pt" to="493.20pt,8.0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CwAAAAAoAAAIAAAAAAAAAAAAAAAAgAAAM////8AAAAAAgAAAKAAAAC5JgAAAQAAAAEAAACfAgAAqQg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tbl>
      <w:tblPr>
        <w:tblStyle w:val="TableNormal"/>
        <w:name w:val="Table8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 xml:space="preserve">Moneris Payment Solutions 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Linux Team Manager (full-time)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Toronto,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ind w:left="0" w:firstLine="0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October 2009 - December 2012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Led the 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Linux team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 responsible for maintaining high-availability transaction servers processing 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250+ transactions per second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Collaborated with other teams and vendors to troubleshoot and resolve production issues, ensuring minimal downtime.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Developed and implemented 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 xml:space="preserve">enterprise procedures 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and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 xml:space="preserve"> standards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 to improve reliability and operational efficiency.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Ensured Linux infrastructure met business-critical performance and compliance requirements.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Delivered </w:t>
      </w:r>
      <w:r>
        <w:rPr>
          <w:rFonts w:ascii="Basic Roman" w:hAnsi="Basic Roman" w:eastAsia="Basic Roman" w:cs="Basic Roman"/>
          <w:b/>
          <w:bCs/>
          <w:color w:val="auto"/>
          <w:sz w:val="20"/>
          <w:szCs w:val="20"/>
          <w:lang w:val="en-gb" w:bidi="ar-sa"/>
        </w:rPr>
        <w:t>new services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 including server build and patching systems, IT knowledgebase, inventory management, health </w:t>
      </w:r>
    </w:p>
    <w:p>
      <w:pPr>
        <w:ind w:left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monitoring and centralized logging.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Collaborated with auditors to ensure compliance with PCI standards.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2385" distB="38100" distL="635" distR="0" simplePos="0" relativeHeight="251658247" behindDoc="0" locked="0" layoutInCell="0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103505</wp:posOffset>
                </wp:positionV>
                <wp:extent cx="5401945" cy="5715"/>
                <wp:effectExtent l="76200" t="76200" r="76200" b="76200"/>
                <wp:wrapNone/>
                <wp:docPr id="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DUAAAAAoAAAIAAAAAAAAAAAAAAAAgAAABMAAAAAAAAAAgAAAKMAAAA7IQAACQAAAAEAAADjAgAAPB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0" o:spid="_x0000_s1034" style="position:absolute;width:425.35pt;height:0.45pt;z-index:251658247;mso-wrap-distance-left:0.05pt;mso-wrap-distance-top:2.55pt;mso-wrap-distance-right:0.00pt;mso-wrap-distance-bottom:3.00pt;mso-wrap-style:square" from="0.95pt,8.15pt" to="426.30pt,8.6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DUAAAAAoAAAIAAAAAAAAAAAAAAAAgAAABMAAAAAAAAAAgAAAKMAAAA7IQAACQAAAAEAAADjAgAAPBI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tbl>
      <w:tblPr>
        <w:tblStyle w:val="TableNormal"/>
        <w:name w:val="Table9"/>
        <w:tabOrder w:val="0"/>
        <w:jc w:val="left"/>
        <w:tblInd w:w="0" w:type="dxa"/>
        <w:tblW w:w="10799" w:type="dxa"/>
        <w:tblLook w:val="0600" w:firstRow="0" w:lastRow="0" w:firstColumn="0" w:lastColumn="0" w:noHBand="1" w:noVBand="1"/>
      </w:tblPr>
      <w:tblGrid>
        <w:gridCol w:w="4169"/>
        <w:gridCol w:w="6630"/>
      </w:tblGrid>
      <w:tr>
        <w:trPr>
          <w:tblHeader w:val="0"/>
          <w:cantSplit w:val="0"/>
          <w:trHeight w:val="0" w:hRule="auto"/>
        </w:trPr>
        <w:tc>
          <w:tcPr>
            <w:tcW w:w="41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Morgan Stanley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6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C/C++ Tool Support Analyst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New York, New York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6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January 2008 – April 2009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Supported global C/C++ developer tools, maintaining a centralized wiki and documentation repository.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Supported the global Makefile build system.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000000"/>
          <w:sz w:val="20"/>
          <w:szCs w:val="20"/>
        </w:rPr>
        <w:t>Conducted testing on new tools and established a centralized Wiki-based documentation repository for company programmers.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Provided guidance and troubleshooting support to improve developer productivity and system reliability.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8100" distB="38100" distL="635" distR="0" simplePos="0" relativeHeight="251658249" behindDoc="0" locked="0" layoutInCell="0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100965</wp:posOffset>
                </wp:positionV>
                <wp:extent cx="4464685" cy="0"/>
                <wp:effectExtent l="76200" t="76200" r="76200" b="76200"/>
                <wp:wrapNone/>
                <wp:docPr id="9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DsAAAAAoAAAIAAAAAAAAAAAAAAAAgAAABMAAAAAAAAAAgAAAJ8AAAB3GwAAAAAAAAEAAADjAgAAGRk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464685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4" o:spid="_x0000_s1035" style="position:absolute;width:351.55pt;height:0.00pt;z-index:251658249;mso-wrap-distance-left:0.05pt;mso-wrap-distance-top:3.00pt;mso-wrap-distance-right:0.00pt;mso-wrap-distance-bottom:3.00pt;mso-wrap-style:square" from="0.95pt,7.95pt" to="352.50pt,7.95pt" strokeweight="0.00pt" filled="f" v:ext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DsAAAAAoAAAIAAAAAAAAAAAAAAAAgAAABMAAAAAAAAAAgAAAJ8AAAB3GwAAAAAAAAEAAADjAgAAGRk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tbl>
      <w:tblPr>
        <w:tblStyle w:val="TableNormal"/>
        <w:name w:val="Table10"/>
        <w:tabOrder w:val="0"/>
        <w:jc w:val="left"/>
        <w:tblInd w:w="0" w:type="dxa"/>
        <w:tblW w:w="10799" w:type="dxa"/>
        <w:tblLook w:val="0600" w:firstRow="0" w:lastRow="0" w:firstColumn="0" w:lastColumn="0" w:noHBand="1" w:noVBand="1"/>
      </w:tblPr>
      <w:tblGrid>
        <w:gridCol w:w="4110"/>
        <w:gridCol w:w="6689"/>
      </w:tblGrid>
      <w:tr>
        <w:trPr>
          <w:tblHeader w:val="0"/>
          <w:cantSplit w:val="0"/>
          <w:trHeight w:val="0" w:hRule="auto"/>
        </w:trPr>
        <w:tc>
          <w:tcPr>
            <w:tcW w:w="41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Merril Lynch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68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Compliance Plant Support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New York, New York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68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April 2007 – October 2007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Oversaw a </w:t>
      </w: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NASDAQ-mandated compliance application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, ensuring accurate tracking of trade activity down to the second.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Managed the nightly batch process to guarantee timely electronic transfer of compliance records to NASDAQ.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Developed an application to convert nightly NASDAQ CSV files into tabbed Excel reports, streamlining reporting.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Ensured compliance processes were reliable and auditable, minimizing risk of regulatory issues.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8100" distB="38100" distL="635" distR="0" simplePos="0" relativeHeight="251658248" behindDoc="0" locked="0" layoutInCell="0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97155</wp:posOffset>
                </wp:positionV>
                <wp:extent cx="3732530" cy="635"/>
                <wp:effectExtent l="76200" t="76200" r="76200" b="76200"/>
                <wp:wrapNone/>
                <wp:docPr id="8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EEAAAAAoAAAIAAAAAAAAAAAAAAAAgAAABMAAAAAAAAAAgAAAJkAAAD2FgAAAQAAAAEAAADjAgAABS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3732530" cy="63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2" o:spid="_x0000_s1036" style="position:absolute;width:293.90pt;height:0.05pt;z-index:251658248;mso-wrap-distance-left:0.05pt;mso-wrap-distance-top:3.00pt;mso-wrap-distance-right:0.00pt;mso-wrap-distance-bottom:3.00pt;mso-wrap-style:square" from="0.95pt,7.65pt" to="294.85pt,7.7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EEAAAAAoAAAIAAAAAAAAAAAAAAAAgAAABMAAAAAAAAAAgAAAJkAAAD2FgAAAQAAAAEAAADjAgAABSA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tbl>
      <w:tblPr>
        <w:tblStyle w:val="TableNormal"/>
        <w:name w:val="Table11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Morgan Stanley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R&amp;D Business Intelligence Analyst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New York, New York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November 2004 – April 2007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Investigated and evaluated new business intelligence software platforms, producing detailed technical assessments.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Built test harnesses for stress and functional testing, ensuring accurate performance evaluation.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Delivered actionable insights to support enterprise-wide BI platform decisions.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Received a </w:t>
      </w:r>
      <w:r>
        <w:rPr>
          <w:rFonts w:ascii="Basic Roman" w:hAnsi="Basic Roman" w:eastAsia="Basic Roman" w:cs="Basic Roman"/>
          <w:b/>
          <w:bCs/>
          <w:color w:val="auto"/>
          <w:sz w:val="20"/>
          <w:szCs w:val="20"/>
          <w:lang w:val="en-gb" w:bidi="ar-sa"/>
        </w:rPr>
        <w:t>Global Operations and Services Award for Excellence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 for delivering a Metadata Repository for the firm’s Reference Data Group.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38100" distB="34925" distL="635" distR="0" simplePos="0" relativeHeight="251658250" behindDoc="0" locked="0" layoutInCell="0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2995930" cy="3175"/>
                <wp:effectExtent l="76200" t="76200" r="76200" b="76200"/>
                <wp:wrapNone/>
                <wp:docPr id="10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EcAAAAAoAAAAAAAAAAAAAAAAAAAAgAAABMAAAABAAAAAgAAAI4AAABuEgAABQAAAAEAAADjAgAAwCc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2995930" cy="317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7" o:spid="_x0000_s1037" style="position:absolute;width:235.90pt;height:0.25pt;rotation:360.0;z-index:251658250;mso-wrap-distance-left:0.05pt;mso-wrap-distance-top:3.00pt;mso-wrap-distance-right:0.00pt;mso-wrap-distance-bottom:2.75pt;mso-wrap-style:square" from="0.95pt,7.35pt" to="236.85pt,7.1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EcAAAAAoAAAAAAAAAAAAAAAAAAAAgAAABMAAAABAAAAAgAAAI4AAABuEgAABQAAAAEAAADjAgAAwCc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tbl>
      <w:tblPr>
        <w:tblStyle w:val="TableNormal"/>
        <w:name w:val="Table12"/>
        <w:tabOrder w:val="0"/>
        <w:jc w:val="left"/>
        <w:tblInd w:w="0" w:type="dxa"/>
        <w:tblW w:w="10799" w:type="dxa"/>
        <w:tblLook w:val="0600" w:firstRow="0" w:lastRow="0" w:firstColumn="0" w:lastColumn="0" w:noHBand="1" w:noVBand="1"/>
      </w:tblPr>
      <w:tblGrid>
        <w:gridCol w:w="4363"/>
        <w:gridCol w:w="6436"/>
      </w:tblGrid>
      <w:tr>
        <w:trPr>
          <w:tblHeader w:val="0"/>
          <w:cantSplit w:val="0"/>
          <w:trHeight w:val="0" w:hRule="auto"/>
        </w:trPr>
        <w:tc>
          <w:tcPr>
            <w:tcW w:w="436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 xml:space="preserve">Xpedite 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43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IT Manager / Systems Architect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6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Toronto,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43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May 2003 – April 2004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Designed and deployed a complete IT infrastructure for the new Toronto office, supporting local and remote teams.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Built enterprise system from 2 laptop prototype to clustered, 3-tierd, 13 production server deployment.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Personally deployed the servers at the Ashton, Virginia data center, from hardware setup to production readiness.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8100" distB="38100" distL="635" distR="0" simplePos="0" relativeHeight="251658251" behindDoc="0" locked="0" layoutInCell="0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120015</wp:posOffset>
                </wp:positionV>
                <wp:extent cx="2058035" cy="0"/>
                <wp:effectExtent l="76200" t="76200" r="76200" b="76200"/>
                <wp:wrapNone/>
                <wp:docPr id="11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EwAAAAAoAAAIAAAAAAAAAAAAAAAAgAAABMAAAAAAAAAAgAAAL0AAACpDAAAAAAAAAEAAADjAgAAES4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058035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9" o:spid="_x0000_s1038" style="position:absolute;width:162.05pt;height:0.00pt;z-index:251658251;mso-wrap-distance-left:0.05pt;mso-wrap-distance-top:3.00pt;mso-wrap-distance-right:0.00pt;mso-wrap-distance-bottom:3.00pt;mso-wrap-style:square" from="0.95pt,9.45pt" to="163.00pt,9.45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EwAAAAAoAAAIAAAAAAAAAAAAAAAAgAAABMAAAAAAAAAAgAAAL0AAACpDAAAAAAAAAEAAADjAgAAES4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tbl>
      <w:tblPr>
        <w:tblStyle w:val="TableNormal"/>
        <w:name w:val="Table13"/>
        <w:tabOrder w:val="0"/>
        <w:jc w:val="left"/>
        <w:tblInd w:w="0" w:type="dxa"/>
        <w:tblW w:w="10799" w:type="dxa"/>
        <w:tblLook w:val="0600" w:firstRow="0" w:lastRow="0" w:firstColumn="0" w:lastColumn="0" w:noHBand="1" w:noVBand="1"/>
      </w:tblPr>
      <w:tblGrid>
        <w:gridCol w:w="4093"/>
        <w:gridCol w:w="6706"/>
      </w:tblGrid>
      <w:tr>
        <w:trPr>
          <w:tblHeader w:val="0"/>
          <w:cantSplit w:val="0"/>
          <w:trHeight w:val="0" w:hRule="auto"/>
        </w:trPr>
        <w:tc>
          <w:tcPr>
            <w:tcW w:w="409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Cadence Design Systems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7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IT Infrastructure Developer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09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Ottawa,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7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June 2002 – December 2002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Developed a unified Unix-based desktop environment across 20+ locations, supporting various versions of different operating systems including </w:t>
      </w:r>
      <w:r>
        <w:rPr>
          <w:rFonts w:ascii="Basic Roman" w:hAnsi="Basic Roman" w:eastAsia="Basic Roman" w:cs="Basic Roman"/>
          <w:color w:val="000000"/>
          <w:sz w:val="20"/>
          <w:szCs w:val="20"/>
        </w:rPr>
        <w:t>Solaris, Linux, HP-UX, and AIX.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Improved user experience and tool accessibility for cross-location teams, enhancing operational efficiency and product platform </w:t>
      </w:r>
    </w:p>
    <w:p>
      <w:pPr>
        <w:ind w:left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consistency.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37465" distB="38100" distL="635" distR="635" simplePos="0" relativeHeight="251658252" behindDoc="0" locked="0" layoutInCell="0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108585</wp:posOffset>
                </wp:positionV>
                <wp:extent cx="1373505" cy="635"/>
                <wp:effectExtent l="76200" t="76200" r="76200" b="76200"/>
                <wp:wrapNone/>
                <wp:docPr id="12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EAAAAAoAAAIAAAAAAAAAAAAAAAAgAAAD8AAAAAAAAAAgAAAKsAAABzCAAAAQAAAAEAAAAPAwAA4D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373505" cy="63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1" o:spid="_x0000_s1039" style="position:absolute;width:108.15pt;height:0.05pt;z-index:251658252;mso-wrap-distance-left:0.05pt;mso-wrap-distance-top:2.95pt;mso-wrap-distance-right:0.05pt;mso-wrap-distance-bottom:3.00pt;mso-wrap-style:square" from="3.15pt,8.55pt" to="111.30pt,8.6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EAAAAAoAAAIAAAAAAAAAAAAAAAAgAAAD8AAAAAAAAAAgAAAKsAAABzCAAAAQAAAAEAAAAPAwAA4DQ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tbl>
      <w:tblPr>
        <w:tblStyle w:val="TableNormal"/>
        <w:name w:val="Table14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SiGe Semiconductor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Senior Systems Administrator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Ottawa,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March 2001 – May 2002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Supported 120 workers across four offices in Canada, UK, and France, providing Linux system administration for workstations, thin clients and simulation servers as well as network troubleshooting.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noProof/>
        </w:rPr>
        <mc:AlternateContent>
          <mc:Choice Requires="wps">
            <w:drawing>
              <wp:anchor distT="38100" distB="38100" distL="635" distR="0" simplePos="0" relativeHeight="251658253" behindDoc="0" locked="0" layoutInCell="0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201930</wp:posOffset>
                </wp:positionV>
                <wp:extent cx="586105" cy="0"/>
                <wp:effectExtent l="76200" t="76200" r="76200" b="76200"/>
                <wp:wrapNone/>
                <wp:docPr id="13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QAAAAAoAAAAAAAAAAAAAAAAAAAAgAAAD8AAAABAAAAAgAAAD4BAACbAwAAAAAAAAEAAAAPAwAArDo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40" style="position:absolute;width:46.15pt;height:0.00pt;z-index:251658253;mso-wrap-distance-left:0.05pt;mso-wrap-distance-top:3.00pt;mso-wrap-distance-right:0.00pt;mso-wrap-distance-bottom:3.00pt;mso-wrap-style:square" from="3.15pt,15.90pt" to="49.30pt,15.9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QAAAAAoAAAAAAAAAAAAAAAAAAAAgAAAD8AAAABAAAAAgAAAD4BAACbAwAAAAAAAAEAAAAPAwAArDoAACgAAAAIAAAAAQAAAAEAAAA=">
                <v:stroke endarrow="block" endarrowlength="medium" end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Developed custom solutions for remote R&amp;D office, including backup and recovery processes.</w:t>
      </w:r>
    </w:p>
    <w:p>
      <w:r>
        <w:br w:type="page"/>
      </w:r>
    </w:p>
    <w:tbl>
      <w:tblPr>
        <w:tblStyle w:val="TableNormal"/>
        <w:name w:val="Table15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pageBreakBefore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Nortel Networks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Web &amp; Streaming Media Server Support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Ottawa,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October 2000 –  February 2001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Managed 100+ proxy servers globally, providing technical support via email, phone, and Remedy ticketing system.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Ensured consistent operation and connectivity across distributed server infrastructure.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8255" distB="38100" distL="635" distR="635" simplePos="0" relativeHeight="251658254" behindDoc="0" locked="0" layoutInCell="0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78740</wp:posOffset>
                </wp:positionV>
                <wp:extent cx="6173470" cy="29845"/>
                <wp:effectExtent l="76200" t="76200" r="76200" b="76200"/>
                <wp:wrapNone/>
                <wp:docPr id="1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gAAAAIoAAAAAAAAAAAAAAAAAAAAgAAAD8AAAABAAAAAgAAAHwAAAD6JQAALwAAAAIAAAAPAwAAsQcAACgAAAAIAAAAAQAAAAEAAAA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6173470" cy="2984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head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5" o:spid="_x0000_s1041" style="position:absolute;width:486.10pt;height:2.35pt;z-index:251658254;mso-wrap-distance-left:0.05pt;mso-wrap-distance-top:0.65pt;mso-wrap-distance-right:0.05pt;mso-wrap-distance-bottom:3.00pt;mso-wrap-style:square" from="489.25pt,8.55pt" to="3.15pt,6.2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gAAAAIoAAAAAAAAAAAAAAAAAAAAgAAAD8AAAABAAAAAgAAAHwAAAD6JQAALwAAAAIAAAAPAwAAsQcAACgAAAAIAAAAAQAAAAEAAAA=">
                <v:stroke startarrow="block" startarrowlength="medium" start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tbl>
      <w:tblPr>
        <w:tblStyle w:val="TableNormal"/>
        <w:name w:val="Table16"/>
        <w:tabOrder w:val="0"/>
        <w:jc w:val="left"/>
        <w:tblInd w:w="0" w:type="dxa"/>
        <w:tblW w:w="10799" w:type="dxa"/>
        <w:tblLook w:val="0600" w:firstRow="0" w:lastRow="0" w:firstColumn="0" w:lastColumn="0" w:noHBand="1" w:noVBand="1"/>
      </w:tblPr>
      <w:tblGrid>
        <w:gridCol w:w="2262"/>
        <w:gridCol w:w="8537"/>
      </w:tblGrid>
      <w:tr>
        <w:trPr>
          <w:tblHeader w:val="0"/>
          <w:cantSplit w:val="0"/>
          <w:trHeight w:val="0" w:hRule="auto"/>
        </w:trPr>
        <w:tc>
          <w:tcPr>
            <w:tcW w:w="226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Cebra / MERX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853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IT Manager, Systems &amp; Network Administrator, Security Analyst (contract)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Ottawa,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853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September 1999 – September 2000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noProof/>
        </w:rPr>
        <mc:AlternateContent>
          <mc:Choice Requires="wps">
            <w:drawing>
              <wp:anchor distT="8890" distB="37465" distL="635" distR="0" simplePos="0" relativeHeight="251658255" behindDoc="0" locked="0" layoutInCell="0" hidden="0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643255</wp:posOffset>
                </wp:positionV>
                <wp:extent cx="5240655" cy="29845"/>
                <wp:effectExtent l="76200" t="76200" r="76200" b="76200"/>
                <wp:wrapNone/>
                <wp:docPr id="15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oAAAAIoAAAAAAAAAAAAAAAAAAAAgAAAEcAAAABAAAAAgAAAPUDAAA9IAAALwAAAAIAAAAXAwAA0A4AACgAAAAIAAAAAQAAAAEAAAA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5240655" cy="2984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head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6" o:spid="_x0000_s1042" style="position:absolute;width:412.65pt;height:2.35pt;z-index:251658255;mso-wrap-distance-left:0.05pt;mso-wrap-distance-top:0.70pt;mso-wrap-distance-right:0.00pt;mso-wrap-distance-bottom:2.95pt;mso-wrap-style:square" from="416.20pt,53.00pt" to="3.55pt,50.65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oAAAAIoAAAAAAAAAAAAAAAAAAAAgAAAEcAAAABAAAAAgAAAPUDAAA9IAAALwAAAAIAAAAXAwAA0A4AACgAAAAIAAAAAQAAAAEAAAA=">
                <v:stroke startarrow="block" startarrowlength="medium" start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Administered all company networks, file transfer servers, databases, and clustered web applications.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Implemented change management procedures and automated monitoring systems, reducing on-call support costs.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Provided security analysis and oversight across IT infrastructure.</w:t>
      </w:r>
    </w:p>
    <w:p>
      <w:pPr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  <w:sz w:val="20"/>
          <w:szCs w:val="20"/>
        </w:rPr>
      </w:pPr>
      <w:r>
        <w:rPr>
          <w:rFonts w:ascii="Basic Roman" w:hAnsi="Basic Roman" w:eastAsia="Basic Roman" w:cs="Basic Roman"/>
          <w:color w:val="000000"/>
          <w:sz w:val="20"/>
          <w:szCs w:val="20"/>
        </w:rPr>
      </w:r>
    </w:p>
    <w:tbl>
      <w:tblPr>
        <w:tblStyle w:val="TableNormal"/>
        <w:name w:val="Table17"/>
        <w:tabOrder w:val="0"/>
        <w:jc w:val="left"/>
        <w:tblInd w:w="0" w:type="dxa"/>
        <w:tblW w:w="10800" w:type="dxa"/>
        <w:tblLook w:val="0600" w:firstRow="0" w:lastRow="0" w:firstColumn="0" w:lastColumn="0" w:noHBand="1" w:noVBand="1"/>
      </w:tblPr>
      <w:tblGrid>
        <w:gridCol w:w="5402"/>
        <w:gridCol w:w="5398"/>
      </w:tblGrid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Canada Revenue Agency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Systems Administrator (full-time)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0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Ottawa,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53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May 1997 – September 1999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Managed Solaris server platforms and provided third-level support for e-commerce systems.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Contributed to architecture of mainframe to web applications, delivering technical presentations to stakeholders.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Promoted from CS II to CS III for demonstrated technical expertise and leadership.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8890" distB="37465" distL="635" distR="635" simplePos="0" relativeHeight="251658256" behindDoc="0" locked="0" layoutInCell="0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100965</wp:posOffset>
                </wp:positionV>
                <wp:extent cx="4298315" cy="29845"/>
                <wp:effectExtent l="76200" t="76200" r="76200" b="76200"/>
                <wp:wrapNone/>
                <wp:docPr id="16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GQAAAAIoAAAAAAAAAAAAAAAAAAAAgAAAD8AAAABAAAAAgAAAJ8AAABxGgAALwAAAAIAAAAPAwAAqxUAACgAAAAIAAAAAQAAAAEAAAA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4298315" cy="2984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head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8" o:spid="_x0000_s1043" style="position:absolute;width:338.45pt;height:2.35pt;z-index:251658256;mso-wrap-distance-left:0.05pt;mso-wrap-distance-top:0.70pt;mso-wrap-distance-right:0.05pt;mso-wrap-distance-bottom:2.95pt;mso-wrap-style:square" from="341.60pt,10.30pt" to="3.15pt,7.95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GQAAAAIoAAAAAAAAAAAAAAAAAAAAgAAAD8AAAABAAAAAgAAAJ8AAABxGgAALwAAAAIAAAAPAwAAqxUAACgAAAAIAAAAAQAAAAEAAAA=">
                <v:stroke startarrow="block" startarrowlength="medium" start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tbl>
      <w:tblPr>
        <w:tblStyle w:val="TableNormal"/>
        <w:name w:val="Table18"/>
        <w:tabOrder w:val="0"/>
        <w:jc w:val="left"/>
        <w:tblInd w:w="0" w:type="dxa"/>
        <w:tblW w:w="10799" w:type="dxa"/>
        <w:tblLook w:val="0600" w:firstRow="0" w:lastRow="0" w:firstColumn="0" w:lastColumn="0" w:noHBand="1" w:noVBand="1"/>
      </w:tblPr>
      <w:tblGrid>
        <w:gridCol w:w="4154"/>
        <w:gridCol w:w="6645"/>
      </w:tblGrid>
      <w:tr>
        <w:trPr>
          <w:tblHeader w:val="0"/>
          <w:cantSplit w:val="0"/>
          <w:trHeight w:val="0" w:hRule="auto"/>
        </w:trPr>
        <w:tc>
          <w:tcPr>
            <w:tcW w:w="415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color w:val="000000"/>
                <w:sz w:val="20"/>
                <w:szCs w:val="20"/>
              </w:rPr>
              <w:t>CADlink Technology Corporation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64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b/>
                <w:bCs/>
                <w:color w:val="000000"/>
                <w:sz w:val="20"/>
                <w:szCs w:val="20"/>
              </w:rPr>
              <w:t>Systems, Network and Desktop Support (full-time)</w:t>
            </w:r>
            <w:r>
              <w:rPr>
                <w:rFonts w:ascii="Basic Roman" w:hAnsi="Basic Roman" w:eastAsia="Basic Roman" w:cs="Basic Roman"/>
                <w:b/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5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Ottawa, Ontario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  <w:tc>
          <w:tcPr>
            <w:tcW w:w="664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FFFFFF" tmln="20, 20, 20, 0, 0"/>
              <w:left w:val="single" w:sz="8" w:space="0" w:color="FFFFFF" tmln="20, 20, 20, 0, 0"/>
              <w:bottom w:val="single" w:sz="8" w:space="0" w:color="FFFFFF" tmln="20, 20, 20, 0, 0"/>
              <w:right w:val="single" w:sz="8" w:space="0" w:color="FFFFFF" tmln="20, 20, 20, 0, 0"/>
            </w:tcBorders>
            <w:tmTcPr id="1762208787" protected="0"/>
          </w:tcPr>
          <w:p>
            <w:pPr>
              <w:pStyle w:val="para1"/>
              <w:spacing w:before="0" w:after="0" w:line="240" w:lineRule="auto"/>
              <w:jc w:val="right"/>
              <w:widowControl w:val="0"/>
              <w:rPr>
                <w:rFonts w:ascii="Basic Roman" w:hAnsi="Basic Roman" w:eastAsia="Basic Roman" w:cs="Basic Roman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color w:val="000000"/>
                <w:sz w:val="20"/>
                <w:szCs w:val="20"/>
              </w:rPr>
              <w:t>June 1995 – May 1997</w:t>
            </w:r>
            <w:r>
              <w:rPr>
                <w:rFonts w:ascii="Basic Roman" w:hAnsi="Basic Roman" w:eastAsia="Basic Roman" w:cs="Basic Roman"/>
                <w:sz w:val="20"/>
                <w:szCs w:val="20"/>
              </w:rPr>
            </w:r>
          </w:p>
        </w:tc>
      </w:tr>
    </w:tbl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Built the company’s online presence and Linux backend services for email, file transfer, and web hosting.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Migrated services to Windows server platform and implemented standardized server configurations.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Provided office network and desktop support, including infrastructure upgrades and rewiring.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color w:val="000000"/>
        </w:rPr>
      </w:pPr>
      <w:r>
        <w:rPr>
          <w:noProof/>
        </w:rPr>
        <mc:AlternateContent>
          <mc:Choice Requires="wps">
            <w:drawing>
              <wp:anchor distT="38100" distB="38100" distL="635" distR="0" simplePos="0" relativeHeight="251658257" behindDoc="0" locked="0" layoutInCell="0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88900</wp:posOffset>
                </wp:positionV>
                <wp:extent cx="3516630" cy="0"/>
                <wp:effectExtent l="76200" t="76200" r="76200" b="76200"/>
                <wp:wrapNone/>
                <wp:docPr id="17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GkAAAAIoAAAAAAAAAAAAAAAAAAAAgAAAD8AAAABAAAAAgAAAIwAAACiFQAAAAAAAAIAAAAPAwAAuhsAACgAAAAIAAAAAQAAAAEAAAA="/>
                          </a:ext>
                        </a:extLst>
                      </wps:cNvSpPr>
                      <wps:spPr>
                        <a:xfrm flipH="1">
                          <a:off x="0" y="0"/>
                          <a:ext cx="351663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head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0" o:spid="_x0000_s1044" style="position:absolute;width:276.90pt;height:0.00pt;rotation:360.0;z-index:251658257;mso-wrap-distance-left:0.05pt;mso-wrap-distance-top:3.00pt;mso-wrap-distance-right:0.00pt;mso-wrap-distance-bottom:3.00pt;mso-wrap-style:square" from="280.05pt,7.00pt" to="3.15pt,7.0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GkAAAAIoAAAAAAAAAAAAAAAAAAAAgAAAD8AAAABAAAAAgAAAIwAAACiFQAAAAAAAAIAAAAPAwAAuhsAACgAAAAIAAAAAQAAAAEAAAA=">
                <v:stroke startarrow="block" startarrowlength="medium" start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color w:val="000000"/>
        </w:rPr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rFonts w:ascii="Basic Roman" w:hAnsi="Basic Roman" w:eastAsia="Basic Roman" w:cs="Basic Roman"/>
          <w:b/>
          <w:color w:val="000000"/>
          <w:sz w:val="28"/>
          <w:szCs w:val="28"/>
        </w:rPr>
        <w:t>Core Competencies / Soft Skills</w:t>
      </w:r>
    </w:p>
    <w:p>
      <w:pPr>
        <w:ind w:left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Strong verbal and written communication, including technical and non-technical documentation.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Results-oriented team player with proven leadership experience.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Skilled at facilitating meetings and delivering presentations to peers, senior management, and cross-functional teams.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Adaptable and quick learner, able to master new technologies and methodologies on the job.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8100" distB="37465" distL="635" distR="635" simplePos="0" relativeHeight="251658259" behindDoc="0" locked="0" layoutInCell="0" hidden="0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175895</wp:posOffset>
                </wp:positionV>
                <wp:extent cx="2447925" cy="635"/>
                <wp:effectExtent l="76200" t="76200" r="76200" b="76200"/>
                <wp:wrapNone/>
                <wp:docPr id="19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HAAAAAIoAAAIAAAAAAAAAAAAAAAAgAAABEAAAAAAAAAAgAAABUBAAAPDwAAAQAAAAIAAADhAgAAkiIAACgAAAAIAAAAAQAAAAEAAAA="/>
                          </a:ext>
                        </a:extLst>
                      </wps:cNvSpPr>
                      <wps:spPr>
                        <a:xfrm flipH="1">
                          <a:off x="0" y="0"/>
                          <a:ext cx="2447925" cy="63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head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3" o:spid="_x0000_s1045" style="position:absolute;width:192.75pt;height:0.05pt;rotation:360.0;z-index:251658259;mso-wrap-distance-left:0.05pt;mso-wrap-distance-top:3.00pt;mso-wrap-distance-right:0.05pt;mso-wrap-distance-bottom:2.95pt;mso-wrap-style:square" from="193.60pt,13.85pt" to="0.85pt,13.9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HAAAAAIoAAAIAAAAAAAAAAAAAAAAgAAABEAAAAAAAAAAgAAABUBAAAPDwAAAQAAAAIAAADhAgAAkiIAACgAAAAIAAAAAQAAAAEAAAA=">
                <v:stroke startarrow="block" startarrowlength="medium" start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b/>
          <w:color w:val="000000"/>
          <w:sz w:val="28"/>
          <w:szCs w:val="28"/>
        </w:rPr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rFonts w:ascii="Basic Roman" w:hAnsi="Basic Roman" w:eastAsia="Basic Roman" w:cs="Basic Roman"/>
          <w:b/>
          <w:color w:val="000000"/>
          <w:sz w:val="28"/>
          <w:szCs w:val="28"/>
        </w:rPr>
        <w:t>Education</w:t>
      </w:r>
    </w:p>
    <w:p>
      <w:pPr>
        <w:ind w:left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Bachelor of Arts, Political Studies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 – Trent University, Peterborough, ON, 1993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Computer Science (3rd Year)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 xml:space="preserve"> – Carleton University, Ottawa, ON, 1995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b/>
          <w:color w:val="auto"/>
          <w:sz w:val="20"/>
          <w:szCs w:val="20"/>
          <w:lang w:val="en-gb" w:bidi="ar-sa"/>
        </w:rPr>
        <w:t>Toronto Waldorf School</w:t>
      </w: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, 1988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Ongoing self-education in IT, AI/ML, and Pythong programming technologies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8100" distB="38100" distL="635" distR="0" simplePos="0" relativeHeight="251658258" behindDoc="0" locked="0" layoutInCell="0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181610</wp:posOffset>
                </wp:positionV>
                <wp:extent cx="1541145" cy="0"/>
                <wp:effectExtent l="76200" t="76200" r="76200" b="76200"/>
                <wp:wrapNone/>
                <wp:docPr id="18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HcAAAAIoAAAIAAAAAAAAAAAAAAAAgAAAD8AAAAAAAAAAgAAAB4BAAB7CQAAAAAAAAIAAAAPAwAAdikAACgAAAAIAAAAAQAAAAEAAAA="/>
                          </a:ext>
                        </a:extLst>
                      </wps:cNvSpPr>
                      <wps:spPr>
                        <a:xfrm flipH="1"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head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2" o:spid="_x0000_s1046" style="position:absolute;width:121.35pt;height:0.00pt;rotation:360.0;z-index:251658258;mso-wrap-distance-left:0.05pt;mso-wrap-distance-top:3.00pt;mso-wrap-distance-right:0.00pt;mso-wrap-distance-bottom:3.00pt;mso-wrap-style:square" from="124.50pt,14.30pt" to="3.15pt,14.30pt" strokeweight="0.00pt" filled="f" v:ext="SMDATA_14_EywJ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HcAAAAIoAAAIAAAAAAAAAAAAAAAAgAAAD8AAAAAAAAAAgAAAB4BAAB7CQAAAAAAAAIAAAAPAwAAdikAACgAAAAIAAAAAQAAAAEAAAA=">
                <v:stroke startarrow="block" startarrowlength="medium" start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b/>
          <w:color w:val="000000"/>
          <w:sz w:val="28"/>
          <w:szCs w:val="28"/>
        </w:rPr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rFonts w:ascii="Basic Roman" w:hAnsi="Basic Roman" w:eastAsia="Basic Roman" w:cs="Basic Roman"/>
          <w:b/>
          <w:color w:val="000000"/>
          <w:sz w:val="28"/>
          <w:szCs w:val="28"/>
        </w:rPr>
        <w:t>Industry Awards</w:t>
      </w:r>
    </w:p>
    <w:p>
      <w:pPr>
        <w:ind w:left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CIBC Quarterly Achiever Award – 2015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CIBC Impact Award – 2014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Keane Award for Excellence – 2006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Morgan Stanley Global Operations and Services Award for Excellence – 2005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Keane “K” Pin – 2005</w:t>
      </w:r>
    </w:p>
    <w:p>
      <w:pPr>
        <w:numPr>
          <w:ilvl w:val="0"/>
          <w:numId w:val="8"/>
        </w:numPr>
        <w:ind w:left="283" w:hanging="283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Canadian Information Productivity Award (CIPA) – 2000</w:t>
      </w:r>
    </w:p>
    <w:p>
      <w:pPr>
        <w:pStyle w:val="para1"/>
        <w:spacing w:after="0" w:line="240" w:lineRule="auto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8100" distB="37465" distL="635" distR="0" simplePos="0" relativeHeight="251658260" behindDoc="0" locked="0" layoutInCell="0" hidden="0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182245</wp:posOffset>
                </wp:positionV>
                <wp:extent cx="582930" cy="635"/>
                <wp:effectExtent l="76200" t="76200" r="76200" b="76200"/>
                <wp:wrapNone/>
                <wp:docPr id="20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IAAAAAIoAAAIAAAAAAAAAAAAAAAAgAAABEAAAAAAAAAAgAAAB8BAACWAwAAAQAAAAIAAADhAgAAxzEAACgAAAAIAAAAAQAAAAEAAAA="/>
                          </a:ext>
                        </a:extLst>
                      </wps:cNvSpPr>
                      <wps:spPr>
                        <a:xfrm flipH="1">
                          <a:off x="0" y="0"/>
                          <a:ext cx="582930" cy="63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headEnd type="triangle" w="med" len="med"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4" o:spid="_x0000_s1047" style="position:absolute;width:45.90pt;height:0.05pt;rotation:360.0;z-index:251658260;mso-wrap-distance-left:0.05pt;mso-wrap-distance-top:3.00pt;mso-wrap-distance-right:0.00pt;mso-wrap-distance-bottom:2.95pt;mso-wrap-style:square" from="46.75pt,14.35pt" to="0.85pt,14.40pt" strokeweight="0.00pt" filled="f" v:ext="SMDATA_14_EywJ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AAAAAAQAAABQAAAAUAAAAFAAAAAEAAAAC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IAAAAAIoAAAIAAAAAAAAAAAAAAAAgAAABEAAAAAAAAAAgAAAB8BAACWAwAAAQAAAAIAAADhAgAAxzEAACgAAAAIAAAAAQAAAAEAAAA=">
                <v:stroke startarrow="block" startarrowlength="medium" startarrowwidth="medium"/>
                <w10:wrap type="none" anchorx="text" anchory="text"/>
              </v:line>
            </w:pict>
          </mc:Fallback>
        </mc:AlternateContent>
      </w:r>
      <w:r>
        <w:rPr>
          <w:rFonts w:ascii="Basic Roman" w:hAnsi="Basic Roman" w:eastAsia="Basic Roman" w:cs="Basic Roman"/>
          <w:b/>
          <w:color w:val="000000"/>
          <w:sz w:val="28"/>
          <w:szCs w:val="28"/>
        </w:rPr>
      </w:r>
    </w:p>
    <w:p>
      <w:pPr>
        <w:pStyle w:val="para1"/>
        <w:spacing w:after="0" w:line="240" w:lineRule="auto"/>
        <w:jc w:val="center"/>
        <w:rPr>
          <w:rFonts w:ascii="Basic Roman" w:hAnsi="Basic Roman" w:eastAsia="Basic Roman" w:cs="Basic Roman"/>
          <w:b/>
          <w:color w:val="000000"/>
          <w:sz w:val="28"/>
          <w:szCs w:val="28"/>
        </w:rPr>
      </w:pPr>
      <w:r>
        <w:rPr>
          <w:rFonts w:ascii="Basic Roman" w:hAnsi="Basic Roman" w:eastAsia="Basic Roman" w:cs="Basic Roman"/>
          <w:b/>
          <w:color w:val="000000"/>
          <w:sz w:val="28"/>
          <w:szCs w:val="28"/>
        </w:rPr>
        <w:t>Security Clearance</w:t>
      </w:r>
    </w:p>
    <w:p>
      <w:pPr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Passed numerous RCMP background checks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Government of Canada Enhanced Reliability Security Clearance</w:t>
      </w:r>
    </w:p>
    <w:p>
      <w:pPr>
        <w:numPr>
          <w:ilvl w:val="0"/>
          <w:numId w:val="7"/>
        </w:numPr>
        <w:ind w:left="360" w:hanging="360"/>
        <w:spacing w:after="0" w:line="240" w:lineRule="auto"/>
        <w:hyphenationLines w:val="1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</w:pPr>
      <w:r>
        <w:rPr>
          <w:rFonts w:ascii="Basic Roman" w:hAnsi="Basic Roman" w:eastAsia="Basic Roman" w:cs="Basic Roman"/>
          <w:color w:val="auto"/>
          <w:sz w:val="20"/>
          <w:szCs w:val="20"/>
          <w:lang w:val="en-gb" w:bidi="ar-sa"/>
        </w:rPr>
        <w:t>Passed credit checks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720" w:top="720" w:right="720" w:bottom="720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ymbol">
    <w:charset w:val="02"/>
    <w:family w:val="roman"/>
    <w:pitch w:val="default"/>
  </w:font>
  <w:font w:name="Arial">
    <w:charset w:val="00"/>
    <w:family w:val="swiss"/>
    <w:pitch w:val="default"/>
  </w:font>
  <w:font w:name="Liberation Serif">
    <w:charset w:val="00"/>
    <w:family w:val="roman"/>
    <w:pitch w:val="default"/>
  </w:font>
  <w:font w:name="Calibri">
    <w:charset w:val="00"/>
    <w:family w:val="roman"/>
    <w:pitch w:val="default"/>
  </w:font>
  <w:font w:name="OpenSymbol">
    <w:charset w:val="00"/>
    <w:family w:val="roman"/>
    <w:pitch w:val="default"/>
  </w:font>
  <w:font w:name="Liberation Sans">
    <w:charset w:val="00"/>
    <w:family w:val="roman"/>
    <w:pitch w:val="default"/>
  </w:font>
  <w:font w:name="Georgia">
    <w:charset w:val="00"/>
    <w:family w:val="roman"/>
    <w:pitch w:val="default"/>
  </w:font>
  <w:font w:name="Liberation Mono">
    <w:charset w:val="00"/>
    <w:family w:val="roman"/>
    <w:pitch w:val="default"/>
  </w:font>
  <w:font w:name="S hne">
    <w:charset w:val="00"/>
    <w:family w:val="roman"/>
    <w:pitch w:val="default"/>
  </w:font>
  <w:font w:name="Noto Sans Symbols">
    <w:charset w:val="00"/>
    <w:family w:val="swiss"/>
    <w:pitch w:val="default"/>
  </w:font>
  <w:font w:name="Droid Sans Fallback">
    <w:charset w:val="00"/>
    <w:family w:val="roman"/>
    <w:pitch w:val="default"/>
  </w:font>
  <w:font w:name="Droid Sans Devanagari">
    <w:charset w:val="00"/>
    <w:family w:val="auto"/>
    <w:pitch w:val="default"/>
  </w:font>
  <w:font w:name="S hne;ui-sans-serif;system-ui;apple-system;Segoe UI;Roboto;Ubu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cs="Symbol"/>
      </w:rPr>
    </w:lvl>
    <w:lvl w:ilvl="1">
      <w:numFmt w:val="bullet"/>
      <w:suff w:val="tab"/>
      <w:lvlText w:val=" "/>
      <w:lvlJc w:val="left"/>
      <w:pPr>
        <w:ind w:left="1080" w:hanging="0"/>
      </w:pPr>
      <w:rPr>
        <w:rFonts w:ascii="Noto Sans Symbols" w:hAnsi="Noto Sans Symbols" w:cs="Noto Sans Symbols"/>
      </w:rPr>
    </w:lvl>
    <w:lvl w:ilvl="2">
      <w:numFmt w:val="bullet"/>
      <w:suff w:val="tab"/>
      <w:lvlText w:val="■"/>
      <w:lvlJc w:val="left"/>
      <w:pPr>
        <w:ind w:left="1800" w:hanging="0"/>
      </w:pPr>
      <w:rPr>
        <w:rFonts w:ascii="Noto Sans Symbols" w:hAnsi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cs="Noto Sans Symbols"/>
      </w:rPr>
    </w:lvl>
    <w:lvl w:ilvl="4">
      <w:numFmt w:val="bullet"/>
      <w:suff w:val="tab"/>
      <w:lvlText w:val=" "/>
      <w:lvlJc w:val="left"/>
      <w:pPr>
        <w:ind w:left="3240" w:hanging="0"/>
      </w:pPr>
      <w:rPr>
        <w:rFonts w:ascii="Noto Sans Symbols" w:hAnsi="Noto Sans Symbols" w:cs="Noto Sans Symbols"/>
      </w:rPr>
    </w:lvl>
    <w:lvl w:ilvl="5">
      <w:numFmt w:val="bullet"/>
      <w:suff w:val="tab"/>
      <w:lvlText w:val="■"/>
      <w:lvlJc w:val="left"/>
      <w:pPr>
        <w:ind w:left="3960" w:hanging="0"/>
      </w:pPr>
      <w:rPr>
        <w:rFonts w:ascii="Noto Sans Symbols" w:hAnsi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cs="Noto Sans Symbols"/>
      </w:rPr>
    </w:lvl>
    <w:lvl w:ilvl="7">
      <w:numFmt w:val="bullet"/>
      <w:suff w:val="tab"/>
      <w:lvlText w:val=" "/>
      <w:lvlJc w:val="left"/>
      <w:pPr>
        <w:ind w:left="5400" w:hanging="0"/>
      </w:pPr>
      <w:rPr>
        <w:rFonts w:ascii="Noto Sans Symbols" w:hAnsi="Noto Sans Symbols" w:cs="Noto Sans Symbols"/>
      </w:rPr>
    </w:lvl>
    <w:lvl w:ilvl="8">
      <w:numFmt w:val="bullet"/>
      <w:suff w:val="tab"/>
      <w:lvlText w:val="■"/>
      <w:lvlJc w:val="left"/>
      <w:pPr>
        <w:ind w:left="6120" w:hanging="0"/>
      </w:pPr>
      <w:rPr>
        <w:rFonts w:ascii="Noto Sans Symbols" w:hAnsi="Noto Sans Symbols" w:cs="Noto Sans Symbols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cs="Symbol"/>
      </w:rPr>
    </w:lvl>
    <w:lvl w:ilvl="1">
      <w:numFmt w:val="bullet"/>
      <w:suff w:val="tab"/>
      <w:lvlText w:val=" "/>
      <w:lvlJc w:val="left"/>
      <w:pPr>
        <w:ind w:left="1080" w:hanging="0"/>
      </w:pPr>
      <w:rPr>
        <w:rFonts w:ascii="Noto Sans Symbols" w:hAnsi="Noto Sans Symbols" w:cs="Noto Sans Symbols"/>
      </w:rPr>
    </w:lvl>
    <w:lvl w:ilvl="2">
      <w:numFmt w:val="bullet"/>
      <w:suff w:val="tab"/>
      <w:lvlText w:val="■"/>
      <w:lvlJc w:val="left"/>
      <w:pPr>
        <w:ind w:left="1800" w:hanging="0"/>
      </w:pPr>
      <w:rPr>
        <w:rFonts w:ascii="Noto Sans Symbols" w:hAnsi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cs="Noto Sans Symbols"/>
      </w:rPr>
    </w:lvl>
    <w:lvl w:ilvl="4">
      <w:numFmt w:val="bullet"/>
      <w:suff w:val="tab"/>
      <w:lvlText w:val=" "/>
      <w:lvlJc w:val="left"/>
      <w:pPr>
        <w:ind w:left="3240" w:hanging="0"/>
      </w:pPr>
      <w:rPr>
        <w:rFonts w:ascii="Noto Sans Symbols" w:hAnsi="Noto Sans Symbols" w:cs="Noto Sans Symbols"/>
      </w:rPr>
    </w:lvl>
    <w:lvl w:ilvl="5">
      <w:numFmt w:val="bullet"/>
      <w:suff w:val="tab"/>
      <w:lvlText w:val="■"/>
      <w:lvlJc w:val="left"/>
      <w:pPr>
        <w:ind w:left="3960" w:hanging="0"/>
      </w:pPr>
      <w:rPr>
        <w:rFonts w:ascii="Noto Sans Symbols" w:hAnsi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cs="Noto Sans Symbols"/>
      </w:rPr>
    </w:lvl>
    <w:lvl w:ilvl="7">
      <w:numFmt w:val="bullet"/>
      <w:suff w:val="tab"/>
      <w:lvlText w:val=" "/>
      <w:lvlJc w:val="left"/>
      <w:pPr>
        <w:ind w:left="5400" w:hanging="0"/>
      </w:pPr>
      <w:rPr>
        <w:rFonts w:ascii="Noto Sans Symbols" w:hAnsi="Noto Sans Symbols" w:cs="Noto Sans Symbols"/>
      </w:rPr>
    </w:lvl>
    <w:lvl w:ilvl="8">
      <w:numFmt w:val="bullet"/>
      <w:suff w:val="tab"/>
      <w:lvlText w:val="■"/>
      <w:lvlJc w:val="left"/>
      <w:pPr>
        <w:ind w:left="6120" w:hanging="0"/>
      </w:pPr>
      <w:rPr>
        <w:rFonts w:ascii="Noto Sans Symbols" w:hAnsi="Noto Sans Symbols" w:cs="Noto Sans Symbols"/>
      </w:rPr>
    </w:lvl>
  </w:abstractNum>
  <w:abstractNum w:abstractNumId="3">
    <w:multiLevelType w:val="hybridMultilevel"/>
    <w:name w:val="Numbered list 3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cs="Symbol"/>
      </w:rPr>
    </w:lvl>
    <w:lvl w:ilvl="1">
      <w:numFmt w:val="bullet"/>
      <w:suff w:val="tab"/>
      <w:lvlText w:val=" "/>
      <w:lvlJc w:val="left"/>
      <w:pPr>
        <w:ind w:left="1080" w:hanging="0"/>
      </w:pPr>
      <w:rPr>
        <w:rFonts w:ascii="Noto Sans Symbols" w:hAnsi="Noto Sans Symbols" w:cs="Noto Sans Symbols"/>
      </w:rPr>
    </w:lvl>
    <w:lvl w:ilvl="2">
      <w:numFmt w:val="bullet"/>
      <w:suff w:val="tab"/>
      <w:lvlText w:val="■"/>
      <w:lvlJc w:val="left"/>
      <w:pPr>
        <w:ind w:left="1800" w:hanging="0"/>
      </w:pPr>
      <w:rPr>
        <w:rFonts w:ascii="Noto Sans Symbols" w:hAnsi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cs="Noto Sans Symbols"/>
      </w:rPr>
    </w:lvl>
    <w:lvl w:ilvl="4">
      <w:numFmt w:val="bullet"/>
      <w:suff w:val="tab"/>
      <w:lvlText w:val=" "/>
      <w:lvlJc w:val="left"/>
      <w:pPr>
        <w:ind w:left="3240" w:hanging="0"/>
      </w:pPr>
      <w:rPr>
        <w:rFonts w:ascii="Noto Sans Symbols" w:hAnsi="Noto Sans Symbols" w:cs="Noto Sans Symbols"/>
      </w:rPr>
    </w:lvl>
    <w:lvl w:ilvl="5">
      <w:numFmt w:val="bullet"/>
      <w:suff w:val="tab"/>
      <w:lvlText w:val="■"/>
      <w:lvlJc w:val="left"/>
      <w:pPr>
        <w:ind w:left="3960" w:hanging="0"/>
      </w:pPr>
      <w:rPr>
        <w:rFonts w:ascii="Noto Sans Symbols" w:hAnsi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cs="Noto Sans Symbols"/>
      </w:rPr>
    </w:lvl>
    <w:lvl w:ilvl="7">
      <w:numFmt w:val="bullet"/>
      <w:suff w:val="tab"/>
      <w:lvlText w:val=" "/>
      <w:lvlJc w:val="left"/>
      <w:pPr>
        <w:ind w:left="5400" w:hanging="0"/>
      </w:pPr>
      <w:rPr>
        <w:rFonts w:ascii="Noto Sans Symbols" w:hAnsi="Noto Sans Symbols" w:cs="Noto Sans Symbols"/>
      </w:rPr>
    </w:lvl>
    <w:lvl w:ilvl="8">
      <w:numFmt w:val="bullet"/>
      <w:suff w:val="tab"/>
      <w:lvlText w:val="■"/>
      <w:lvlJc w:val="left"/>
      <w:pPr>
        <w:ind w:left="6120" w:hanging="0"/>
      </w:pPr>
      <w:rPr>
        <w:rFonts w:ascii="Noto Sans Symbols" w:hAnsi="Noto Sans Symbols" w:cs="Noto Sans Symbols"/>
      </w:rPr>
    </w:lvl>
  </w:abstractNum>
  <w:abstractNum w:abstractNumId="4">
    <w:multiLevelType w:val="hybridMultilevel"/>
    <w:name w:val="Numbered list 4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cs="Symbol"/>
      </w:rPr>
    </w:lvl>
    <w:lvl w:ilvl="1">
      <w:numFmt w:val="bullet"/>
      <w:suff w:val="tab"/>
      <w:lvlText w:val="·"/>
      <w:lvlJc w:val="left"/>
      <w:pPr>
        <w:ind w:left="720" w:hanging="0"/>
      </w:pPr>
      <w:rPr>
        <w:rFonts w:ascii="Symbol" w:hAnsi="Symbol" w:cs="Symbol"/>
      </w:rPr>
    </w:lvl>
    <w:lvl w:ilvl="2">
      <w:numFmt w:val="bullet"/>
      <w:suff w:val="tab"/>
      <w:lvlText w:val="·"/>
      <w:lvlJc w:val="left"/>
      <w:pPr>
        <w:ind w:left="1080" w:hanging="0"/>
      </w:pPr>
      <w:rPr>
        <w:rFonts w:ascii="Symbol" w:hAnsi="Symbol" w:cs="Symbol"/>
      </w:rPr>
    </w:lvl>
    <w:lvl w:ilvl="3">
      <w:numFmt w:val="bullet"/>
      <w:suff w:val="tab"/>
      <w:lvlText w:val="·"/>
      <w:lvlJc w:val="left"/>
      <w:pPr>
        <w:ind w:left="1440" w:hanging="0"/>
      </w:pPr>
      <w:rPr>
        <w:rFonts w:ascii="Symbol" w:hAnsi="Symbol" w:cs="Symbol"/>
      </w:rPr>
    </w:lvl>
    <w:lvl w:ilvl="4">
      <w:numFmt w:val="bullet"/>
      <w:suff w:val="tab"/>
      <w:lvlText w:val="·"/>
      <w:lvlJc w:val="left"/>
      <w:pPr>
        <w:ind w:left="1800" w:hanging="0"/>
      </w:pPr>
      <w:rPr>
        <w:rFonts w:ascii="Symbol" w:hAnsi="Symbol" w:cs="Symbol"/>
      </w:rPr>
    </w:lvl>
    <w:lvl w:ilvl="5">
      <w:numFmt w:val="bullet"/>
      <w:suff w:val="tab"/>
      <w:lvlText w:val="·"/>
      <w:lvlJc w:val="left"/>
      <w:pPr>
        <w:ind w:left="2160" w:hanging="0"/>
      </w:pPr>
      <w:rPr>
        <w:rFonts w:ascii="Symbol" w:hAnsi="Symbol" w:cs="Symbol"/>
      </w:rPr>
    </w:lvl>
    <w:lvl w:ilvl="6">
      <w:numFmt w:val="bullet"/>
      <w:suff w:val="tab"/>
      <w:lvlText w:val="·"/>
      <w:lvlJc w:val="left"/>
      <w:pPr>
        <w:ind w:left="2520" w:hanging="0"/>
      </w:pPr>
      <w:rPr>
        <w:rFonts w:ascii="Symbol" w:hAnsi="Symbol" w:cs="Symbol"/>
      </w:rPr>
    </w:lvl>
    <w:lvl w:ilvl="7">
      <w:numFmt w:val="bullet"/>
      <w:suff w:val="tab"/>
      <w:lvlText w:val="·"/>
      <w:lvlJc w:val="left"/>
      <w:pPr>
        <w:ind w:left="2880" w:hanging="0"/>
      </w:pPr>
      <w:rPr>
        <w:rFonts w:ascii="Symbol" w:hAnsi="Symbol" w:cs="Symbol"/>
      </w:rPr>
    </w:lvl>
    <w:lvl w:ilvl="8">
      <w:numFmt w:val="bullet"/>
      <w:suff w:val="tab"/>
      <w:lvlText w:val="·"/>
      <w:lvlJc w:val="left"/>
      <w:pPr>
        <w:ind w:left="3240" w:hanging="0"/>
      </w:pPr>
      <w:rPr>
        <w:rFonts w:ascii="Symbol" w:hAnsi="Symbol" w:cs="Symbol"/>
      </w:rPr>
    </w:lvl>
  </w:abstractNum>
  <w:abstractNum w:abstractNumId="5">
    <w:multiLevelType w:val="hybridMultilevel"/>
    <w:name w:val="Numbered list 5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multiLevelType w:val="singleLevel"/>
    <w:name w:val="Bullet 6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7">
    <w:multiLevelType w:val="singleLevel"/>
    <w:name w:val="Bullet 7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8">
    <w:multiLevelType w:val="singleLevel"/>
    <w:name w:val="Bullet 8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9">
    <w:multiLevelType w:val="singleLevel"/>
    <w:name w:val="Bullet 9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view w:val="print"/>
  <w:defaultTabStop w:val="720"/>
  <w:autoHyphenation w:val="1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48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0"/>
    <w:tmLastPosFrameIdx w:val="64"/>
    <w:tmLastPosCaret>
      <w:tmLastPosPgfIdx w:val="0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762208787" w:val="1068" w:fileVer="342" w:fileVer64="64" w:fileVerOS="3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color w:val="00000a"/>
        <w:sz w:val="22"/>
        <w:szCs w:val="22"/>
        <w:lang w:val="en-us" w:eastAsia="zh-cn" w:bidi="hi-in"/>
      </w:rPr>
    </w:rPrDefault>
    <w:pPrDefault>
      <w:pPr>
        <w:spacing w:after="200" w:line="276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 w:customStyle="1">
    <w:name w:val="LO-normal"/>
    <w:qFormat/>
    <w:rPr>
      <w:rFonts w:ascii="Calibri" w:hAnsi="Calibri" w:eastAsia="Calibri" w:cs="Calibri"/>
      <w:color w:val="00000a"/>
      <w:kern w:val="1"/>
      <w:sz w:val="22"/>
      <w:szCs w:val="22"/>
      <w:lang w:val="en-us" w:eastAsia="zh-cn" w:bidi="hi-in"/>
    </w:rPr>
  </w:style>
  <w:style w:type="paragraph" w:styleId="para2">
    <w:name w:val="heading 1"/>
    <w:qFormat/>
    <w:basedOn w:val="para1"/>
    <w:next w:val="para1"/>
    <w:pPr>
      <w:spacing w:before="480" w:after="120" w:line="240" w:lineRule="auto"/>
      <w:keepNext/>
      <w:keepLines/>
    </w:pPr>
    <w:rPr>
      <w:b/>
      <w:sz w:val="48"/>
      <w:szCs w:val="48"/>
    </w:rPr>
  </w:style>
  <w:style w:type="paragraph" w:styleId="para3">
    <w:name w:val="heading 2"/>
    <w:qFormat/>
    <w:basedOn w:val="para1"/>
    <w:next w:val="para1"/>
    <w:pPr>
      <w:spacing w:before="360" w:after="80" w:line="240" w:lineRule="auto"/>
      <w:keepNext/>
      <w:keepLines/>
    </w:pPr>
    <w:rPr>
      <w:b/>
      <w:sz w:val="36"/>
      <w:szCs w:val="36"/>
    </w:rPr>
  </w:style>
  <w:style w:type="paragraph" w:styleId="para4">
    <w:name w:val="heading 3"/>
    <w:qFormat/>
    <w:basedOn w:val="para1"/>
    <w:next w:val="para1"/>
    <w:pPr>
      <w:spacing w:before="280" w:after="80" w:line="240" w:lineRule="auto"/>
      <w:keepNext/>
      <w:keepLines/>
    </w:pPr>
    <w:rPr>
      <w:b/>
      <w:sz w:val="28"/>
      <w:szCs w:val="28"/>
    </w:rPr>
  </w:style>
  <w:style w:type="paragraph" w:styleId="para5">
    <w:name w:val="heading 4"/>
    <w:qFormat/>
    <w:basedOn w:val="para1"/>
    <w:next w:val="para1"/>
    <w:pPr>
      <w:spacing w:before="240" w:after="40" w:line="240" w:lineRule="auto"/>
      <w:keepNext/>
      <w:keepLines/>
    </w:pPr>
    <w:rPr>
      <w:b/>
      <w:sz w:val="24"/>
      <w:szCs w:val="24"/>
    </w:rPr>
  </w:style>
  <w:style w:type="paragraph" w:styleId="para6">
    <w:name w:val="heading 5"/>
    <w:qFormat/>
    <w:basedOn w:val="para1"/>
    <w:next w:val="para1"/>
    <w:pPr>
      <w:spacing w:before="220" w:after="40" w:line="240" w:lineRule="auto"/>
      <w:keepNext/>
      <w:keepLines/>
    </w:pPr>
    <w:rPr>
      <w:b/>
    </w:rPr>
  </w:style>
  <w:style w:type="paragraph" w:styleId="para7">
    <w:name w:val="heading 6"/>
    <w:qFormat/>
    <w:basedOn w:val="para1"/>
    <w:next w:val="para1"/>
    <w:pPr>
      <w:spacing w:before="200" w:after="40" w:line="240" w:lineRule="auto"/>
      <w:keepNext/>
      <w:keepLines/>
    </w:pPr>
    <w:rPr>
      <w:b/>
      <w:sz w:val="20"/>
      <w:szCs w:val="20"/>
    </w:rPr>
  </w:style>
  <w:style w:type="paragraph" w:styleId="para8" w:customStyle="1">
    <w:name w:val="LO-normal1"/>
    <w:qFormat/>
    <w:rPr>
      <w:rFonts w:ascii="Calibri" w:hAnsi="Calibri" w:eastAsia="Calibri" w:cs="Calibri"/>
      <w:color w:val="00000a"/>
      <w:kern w:val="1"/>
      <w:sz w:val="22"/>
      <w:szCs w:val="22"/>
      <w:lang w:val="en-us" w:eastAsia="zh-cn" w:bidi="hi-in"/>
    </w:rPr>
  </w:style>
  <w:style w:type="paragraph" w:styleId="para9" w:customStyle="1">
    <w:name w:val="Heading"/>
    <w:qFormat/>
    <w:basedOn w:val="para8"/>
    <w:next w:val="para10"/>
    <w:pPr>
      <w:spacing w:before="240" w:after="120"/>
      <w:keepNext/>
    </w:pPr>
    <w:rPr>
      <w:rFonts w:ascii="Liberation Sans" w:hAnsi="Liberation Sans" w:eastAsia="Droid Sans Fallback" w:cs="Droid Sans Devanagari"/>
      <w:sz w:val="28"/>
      <w:szCs w:val="28"/>
    </w:rPr>
  </w:style>
  <w:style w:type="paragraph" w:styleId="para10">
    <w:name w:val="Body Text"/>
    <w:qFormat/>
    <w:basedOn w:val="para8"/>
    <w:pPr>
      <w:spacing w:after="140"/>
    </w:pPr>
  </w:style>
  <w:style w:type="paragraph" w:styleId="para11">
    <w:name w:val="List"/>
    <w:qFormat/>
    <w:basedOn w:val="para10"/>
    <w:rPr>
      <w:rFonts w:cs="Droid Sans Devanagari"/>
    </w:rPr>
  </w:style>
  <w:style w:type="paragraph" w:styleId="para12">
    <w:name w:val="caption"/>
    <w:qFormat/>
    <w:basedOn w:val="para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para13" w:customStyle="1">
    <w:name w:val="Index"/>
    <w:qFormat/>
    <w:basedOn w:val="para8"/>
    <w:pPr>
      <w:suppressLineNumbers/>
    </w:pPr>
    <w:rPr>
      <w:rFonts w:cs="Droid Sans Devanagari"/>
    </w:rPr>
  </w:style>
  <w:style w:type="paragraph" w:styleId="para14">
    <w:name w:val="Title"/>
    <w:qFormat/>
    <w:basedOn w:val="para1"/>
    <w:next w:val="para1"/>
    <w:pPr>
      <w:spacing w:before="480" w:after="120" w:line="240" w:lineRule="auto"/>
      <w:keepNext/>
      <w:keepLines/>
    </w:pPr>
    <w:rPr>
      <w:b/>
      <w:sz w:val="72"/>
      <w:szCs w:val="72"/>
    </w:rPr>
  </w:style>
  <w:style w:type="paragraph" w:styleId="para15">
    <w:name w:val="Subtitle"/>
    <w:qFormat/>
    <w:basedOn w:val="para8"/>
    <w:next w:val="para8"/>
    <w:pPr>
      <w:spacing w:before="360" w:after="80" w:line="240" w:lineRule="auto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6" w:customStyle="1">
    <w:name w:val="Table Contents"/>
    <w:qFormat/>
    <w:basedOn w:val="para8"/>
    <w:pPr>
      <w:suppressLineNumbers/>
    </w:pPr>
  </w:style>
  <w:style w:type="paragraph" w:styleId="para17" w:customStyle="1">
    <w:name w:val="Table Heading"/>
    <w:qFormat/>
    <w:basedOn w:val="para16"/>
    <w:pPr>
      <w:spacing/>
      <w:jc w:val="center"/>
    </w:pPr>
    <w:rPr>
      <w:b/>
      <w:bCs/>
    </w:rPr>
  </w:style>
  <w:style w:type="paragraph" w:styleId="para18" w:customStyle="1">
    <w:name w:val="Frame Contents"/>
    <w:qFormat/>
    <w:basedOn w:val="para0"/>
  </w:style>
  <w:style w:type="paragraph" w:styleId="para19" w:customStyle="1">
    <w:name w:val="Preformatted Text"/>
    <w:qFormat/>
    <w:basedOn w:val="para0"/>
    <w:pPr>
      <w:spacing w:after="0"/>
    </w:pPr>
    <w:rPr>
      <w:rFonts w:ascii="Liberation Mono" w:hAnsi="Liberation Mono" w:eastAsia="Liberation Mono" w:cs="Liberation Mono"/>
      <w:sz w:val="20"/>
      <w:szCs w:val="20"/>
    </w:rPr>
  </w:style>
  <w:style w:type="character" w:styleId="char0" w:default="1">
    <w:name w:val="Default Paragraph Font"/>
  </w:style>
  <w:style w:type="character" w:styleId="char1" w:customStyle="1">
    <w:name w:val="Bullets"/>
    <w:rPr>
      <w:rFonts w:ascii="OpenSymbol" w:hAnsi="OpenSymbol" w:eastAsia="OpenSymbol" w:cs="OpenSymbol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color w:val="00000a"/>
        <w:sz w:val="22"/>
        <w:szCs w:val="22"/>
        <w:lang w:val="en-us" w:eastAsia="zh-cn" w:bidi="hi-in"/>
      </w:rPr>
    </w:rPrDefault>
    <w:pPrDefault>
      <w:pPr>
        <w:spacing w:after="200" w:line="276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 w:customStyle="1">
    <w:name w:val="LO-normal"/>
    <w:qFormat/>
    <w:rPr>
      <w:rFonts w:ascii="Calibri" w:hAnsi="Calibri" w:eastAsia="Calibri" w:cs="Calibri"/>
      <w:color w:val="00000a"/>
      <w:kern w:val="1"/>
      <w:sz w:val="22"/>
      <w:szCs w:val="22"/>
      <w:lang w:val="en-us" w:eastAsia="zh-cn" w:bidi="hi-in"/>
    </w:rPr>
  </w:style>
  <w:style w:type="paragraph" w:styleId="para2">
    <w:name w:val="heading 1"/>
    <w:qFormat/>
    <w:basedOn w:val="para1"/>
    <w:next w:val="para1"/>
    <w:pPr>
      <w:spacing w:before="480" w:after="120" w:line="240" w:lineRule="auto"/>
      <w:keepNext/>
      <w:keepLines/>
    </w:pPr>
    <w:rPr>
      <w:b/>
      <w:sz w:val="48"/>
      <w:szCs w:val="48"/>
    </w:rPr>
  </w:style>
  <w:style w:type="paragraph" w:styleId="para3">
    <w:name w:val="heading 2"/>
    <w:qFormat/>
    <w:basedOn w:val="para1"/>
    <w:next w:val="para1"/>
    <w:pPr>
      <w:spacing w:before="360" w:after="80" w:line="240" w:lineRule="auto"/>
      <w:keepNext/>
      <w:keepLines/>
    </w:pPr>
    <w:rPr>
      <w:b/>
      <w:sz w:val="36"/>
      <w:szCs w:val="36"/>
    </w:rPr>
  </w:style>
  <w:style w:type="paragraph" w:styleId="para4">
    <w:name w:val="heading 3"/>
    <w:qFormat/>
    <w:basedOn w:val="para1"/>
    <w:next w:val="para1"/>
    <w:pPr>
      <w:spacing w:before="280" w:after="80" w:line="240" w:lineRule="auto"/>
      <w:keepNext/>
      <w:keepLines/>
    </w:pPr>
    <w:rPr>
      <w:b/>
      <w:sz w:val="28"/>
      <w:szCs w:val="28"/>
    </w:rPr>
  </w:style>
  <w:style w:type="paragraph" w:styleId="para5">
    <w:name w:val="heading 4"/>
    <w:qFormat/>
    <w:basedOn w:val="para1"/>
    <w:next w:val="para1"/>
    <w:pPr>
      <w:spacing w:before="240" w:after="40" w:line="240" w:lineRule="auto"/>
      <w:keepNext/>
      <w:keepLines/>
    </w:pPr>
    <w:rPr>
      <w:b/>
      <w:sz w:val="24"/>
      <w:szCs w:val="24"/>
    </w:rPr>
  </w:style>
  <w:style w:type="paragraph" w:styleId="para6">
    <w:name w:val="heading 5"/>
    <w:qFormat/>
    <w:basedOn w:val="para1"/>
    <w:next w:val="para1"/>
    <w:pPr>
      <w:spacing w:before="220" w:after="40" w:line="240" w:lineRule="auto"/>
      <w:keepNext/>
      <w:keepLines/>
    </w:pPr>
    <w:rPr>
      <w:b/>
    </w:rPr>
  </w:style>
  <w:style w:type="paragraph" w:styleId="para7">
    <w:name w:val="heading 6"/>
    <w:qFormat/>
    <w:basedOn w:val="para1"/>
    <w:next w:val="para1"/>
    <w:pPr>
      <w:spacing w:before="200" w:after="40" w:line="240" w:lineRule="auto"/>
      <w:keepNext/>
      <w:keepLines/>
    </w:pPr>
    <w:rPr>
      <w:b/>
      <w:sz w:val="20"/>
      <w:szCs w:val="20"/>
    </w:rPr>
  </w:style>
  <w:style w:type="paragraph" w:styleId="para8" w:customStyle="1">
    <w:name w:val="LO-normal1"/>
    <w:qFormat/>
    <w:rPr>
      <w:rFonts w:ascii="Calibri" w:hAnsi="Calibri" w:eastAsia="Calibri" w:cs="Calibri"/>
      <w:color w:val="00000a"/>
      <w:kern w:val="1"/>
      <w:sz w:val="22"/>
      <w:szCs w:val="22"/>
      <w:lang w:val="en-us" w:eastAsia="zh-cn" w:bidi="hi-in"/>
    </w:rPr>
  </w:style>
  <w:style w:type="paragraph" w:styleId="para9" w:customStyle="1">
    <w:name w:val="Heading"/>
    <w:qFormat/>
    <w:basedOn w:val="para8"/>
    <w:next w:val="para10"/>
    <w:pPr>
      <w:spacing w:before="240" w:after="120"/>
      <w:keepNext/>
    </w:pPr>
    <w:rPr>
      <w:rFonts w:ascii="Liberation Sans" w:hAnsi="Liberation Sans" w:eastAsia="Droid Sans Fallback" w:cs="Droid Sans Devanagari"/>
      <w:sz w:val="28"/>
      <w:szCs w:val="28"/>
    </w:rPr>
  </w:style>
  <w:style w:type="paragraph" w:styleId="para10">
    <w:name w:val="Body Text"/>
    <w:qFormat/>
    <w:basedOn w:val="para8"/>
    <w:pPr>
      <w:spacing w:after="140"/>
    </w:pPr>
  </w:style>
  <w:style w:type="paragraph" w:styleId="para11">
    <w:name w:val="List"/>
    <w:qFormat/>
    <w:basedOn w:val="para10"/>
    <w:rPr>
      <w:rFonts w:cs="Droid Sans Devanagari"/>
    </w:rPr>
  </w:style>
  <w:style w:type="paragraph" w:styleId="para12">
    <w:name w:val="caption"/>
    <w:qFormat/>
    <w:basedOn w:val="para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para13" w:customStyle="1">
    <w:name w:val="Index"/>
    <w:qFormat/>
    <w:basedOn w:val="para8"/>
    <w:pPr>
      <w:suppressLineNumbers/>
    </w:pPr>
    <w:rPr>
      <w:rFonts w:cs="Droid Sans Devanagari"/>
    </w:rPr>
  </w:style>
  <w:style w:type="paragraph" w:styleId="para14">
    <w:name w:val="Title"/>
    <w:qFormat/>
    <w:basedOn w:val="para1"/>
    <w:next w:val="para1"/>
    <w:pPr>
      <w:spacing w:before="480" w:after="120" w:line="240" w:lineRule="auto"/>
      <w:keepNext/>
      <w:keepLines/>
    </w:pPr>
    <w:rPr>
      <w:b/>
      <w:sz w:val="72"/>
      <w:szCs w:val="72"/>
    </w:rPr>
  </w:style>
  <w:style w:type="paragraph" w:styleId="para15">
    <w:name w:val="Subtitle"/>
    <w:qFormat/>
    <w:basedOn w:val="para8"/>
    <w:next w:val="para8"/>
    <w:pPr>
      <w:spacing w:before="360" w:after="80" w:line="240" w:lineRule="auto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6" w:customStyle="1">
    <w:name w:val="Table Contents"/>
    <w:qFormat/>
    <w:basedOn w:val="para8"/>
    <w:pPr>
      <w:suppressLineNumbers/>
    </w:pPr>
  </w:style>
  <w:style w:type="paragraph" w:styleId="para17" w:customStyle="1">
    <w:name w:val="Table Heading"/>
    <w:qFormat/>
    <w:basedOn w:val="para16"/>
    <w:pPr>
      <w:spacing/>
      <w:jc w:val="center"/>
    </w:pPr>
    <w:rPr>
      <w:b/>
      <w:bCs/>
    </w:rPr>
  </w:style>
  <w:style w:type="paragraph" w:styleId="para18" w:customStyle="1">
    <w:name w:val="Frame Contents"/>
    <w:qFormat/>
    <w:basedOn w:val="para0"/>
  </w:style>
  <w:style w:type="paragraph" w:styleId="para19" w:customStyle="1">
    <w:name w:val="Preformatted Text"/>
    <w:qFormat/>
    <w:basedOn w:val="para0"/>
    <w:pPr>
      <w:spacing w:after="0"/>
    </w:pPr>
    <w:rPr>
      <w:rFonts w:ascii="Liberation Mono" w:hAnsi="Liberation Mono" w:eastAsia="Liberation Mono" w:cs="Liberation Mono"/>
      <w:sz w:val="20"/>
      <w:szCs w:val="20"/>
    </w:rPr>
  </w:style>
  <w:style w:type="character" w:styleId="char0" w:default="1">
    <w:name w:val="Default Paragraph Font"/>
  </w:style>
  <w:style w:type="character" w:styleId="char1" w:customStyle="1">
    <w:name w:val="Bullets"/>
    <w:rPr>
      <w:rFonts w:ascii="OpenSymbol" w:hAnsi="OpenSymbol" w:eastAsia="OpenSymbol" w:cs="OpenSymbol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Nadim-Daniel Ghaznavi</cp:lastModifiedBy>
  <cp:revision>41</cp:revision>
  <cp:lastPrinted>2024-05-18T17:42:11Z</cp:lastPrinted>
  <dcterms:created xsi:type="dcterms:W3CDTF">2025-11-02T07:32:07Z</dcterms:created>
  <dcterms:modified xsi:type="dcterms:W3CDTF">2025-11-03T22:26:27Z</dcterms:modified>
</cp:coreProperties>
</file>